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81A3" w14:textId="77777777" w:rsidR="005A2A2A" w:rsidRDefault="008068EE">
      <w:pPr>
        <w:widowControl w:val="0"/>
        <w:pBdr>
          <w:top w:val="nil"/>
          <w:left w:val="nil"/>
          <w:bottom w:val="nil"/>
          <w:right w:val="nil"/>
          <w:between w:val="nil"/>
        </w:pBdr>
        <w:spacing w:after="100"/>
        <w:rPr>
          <w:rFonts w:ascii="Times" w:eastAsia="Times" w:hAnsi="Times" w:cs="Times"/>
          <w:b/>
          <w:color w:val="212121"/>
          <w:sz w:val="24"/>
          <w:szCs w:val="24"/>
        </w:rPr>
      </w:pPr>
      <w:r>
        <w:rPr>
          <w:rFonts w:ascii="Times" w:eastAsia="Times" w:hAnsi="Times" w:cs="Times"/>
          <w:b/>
          <w:color w:val="212121"/>
          <w:sz w:val="24"/>
          <w:szCs w:val="24"/>
        </w:rPr>
        <w:t xml:space="preserve">Press Release - Quantum Financial Advisors </w:t>
      </w:r>
    </w:p>
    <w:p w14:paraId="626408C7" w14:textId="28ECF8CD" w:rsidR="005A2A2A" w:rsidRDefault="008068EE">
      <w:pPr>
        <w:widowControl w:val="0"/>
        <w:pBdr>
          <w:top w:val="nil"/>
          <w:left w:val="nil"/>
          <w:bottom w:val="nil"/>
          <w:right w:val="nil"/>
          <w:between w:val="nil"/>
        </w:pBdr>
        <w:spacing w:after="100"/>
        <w:rPr>
          <w:rFonts w:ascii="Times" w:eastAsia="Times" w:hAnsi="Times" w:cs="Times"/>
          <w:b/>
          <w:color w:val="212121"/>
          <w:sz w:val="24"/>
          <w:szCs w:val="24"/>
        </w:rPr>
      </w:pPr>
      <w:r>
        <w:rPr>
          <w:rFonts w:ascii="Times" w:eastAsia="Times" w:hAnsi="Times" w:cs="Times"/>
          <w:b/>
          <w:color w:val="212121"/>
          <w:sz w:val="24"/>
          <w:szCs w:val="24"/>
        </w:rPr>
        <w:t xml:space="preserve">Rockville M.D., </w:t>
      </w:r>
      <w:r w:rsidR="00534E29">
        <w:rPr>
          <w:rFonts w:ascii="Times" w:eastAsia="Times" w:hAnsi="Times" w:cs="Times"/>
          <w:b/>
          <w:color w:val="212121"/>
          <w:sz w:val="24"/>
          <w:szCs w:val="24"/>
        </w:rPr>
        <w:t>April</w:t>
      </w:r>
      <w:r>
        <w:rPr>
          <w:rFonts w:ascii="Times" w:eastAsia="Times" w:hAnsi="Times" w:cs="Times"/>
          <w:b/>
          <w:color w:val="212121"/>
          <w:sz w:val="24"/>
          <w:szCs w:val="24"/>
        </w:rPr>
        <w:t xml:space="preserve"> </w:t>
      </w:r>
      <w:r w:rsidR="000079E3">
        <w:rPr>
          <w:rFonts w:ascii="Times" w:eastAsia="Times" w:hAnsi="Times" w:cs="Times"/>
          <w:b/>
          <w:color w:val="212121"/>
          <w:sz w:val="24"/>
          <w:szCs w:val="24"/>
        </w:rPr>
        <w:t>9</w:t>
      </w:r>
      <w:r>
        <w:rPr>
          <w:rFonts w:ascii="Times" w:eastAsia="Times" w:hAnsi="Times" w:cs="Times"/>
          <w:b/>
          <w:color w:val="212121"/>
          <w:sz w:val="24"/>
          <w:szCs w:val="24"/>
        </w:rPr>
        <w:t>, 201</w:t>
      </w:r>
      <w:r w:rsidR="00E17CF0">
        <w:rPr>
          <w:rFonts w:ascii="Times" w:eastAsia="Times" w:hAnsi="Times" w:cs="Times"/>
          <w:b/>
          <w:color w:val="212121"/>
          <w:sz w:val="24"/>
          <w:szCs w:val="24"/>
        </w:rPr>
        <w:t>9</w:t>
      </w:r>
      <w:r>
        <w:rPr>
          <w:rFonts w:ascii="Times" w:eastAsia="Times" w:hAnsi="Times" w:cs="Times"/>
          <w:b/>
          <w:color w:val="212121"/>
          <w:sz w:val="24"/>
          <w:szCs w:val="24"/>
        </w:rPr>
        <w:t xml:space="preserve"> </w:t>
      </w:r>
    </w:p>
    <w:p w14:paraId="32B1ADD5" w14:textId="77777777" w:rsidR="005A2A2A" w:rsidRDefault="005A2A2A">
      <w:pPr>
        <w:widowControl w:val="0"/>
        <w:pBdr>
          <w:top w:val="nil"/>
          <w:left w:val="nil"/>
          <w:bottom w:val="nil"/>
          <w:right w:val="nil"/>
          <w:between w:val="nil"/>
        </w:pBdr>
        <w:spacing w:after="100"/>
        <w:rPr>
          <w:rFonts w:ascii="Times" w:eastAsia="Times" w:hAnsi="Times" w:cs="Times"/>
          <w:b/>
          <w:color w:val="212121"/>
          <w:sz w:val="24"/>
          <w:szCs w:val="24"/>
        </w:rPr>
      </w:pPr>
    </w:p>
    <w:p w14:paraId="6566A1AA" w14:textId="75119E58" w:rsidR="005A2A2A" w:rsidRDefault="00534E29">
      <w:pPr>
        <w:widowControl w:val="0"/>
        <w:pBdr>
          <w:top w:val="nil"/>
          <w:left w:val="nil"/>
          <w:bottom w:val="nil"/>
          <w:right w:val="nil"/>
          <w:between w:val="nil"/>
        </w:pBdr>
        <w:spacing w:after="100" w:line="240" w:lineRule="auto"/>
        <w:jc w:val="center"/>
        <w:rPr>
          <w:b/>
          <w:color w:val="222222"/>
          <w:highlight w:val="white"/>
        </w:rPr>
      </w:pPr>
      <w:r>
        <w:rPr>
          <w:b/>
          <w:color w:val="222222"/>
          <w:highlight w:val="white"/>
        </w:rPr>
        <w:t>2019 LIBOR Member Ratings</w:t>
      </w:r>
    </w:p>
    <w:p w14:paraId="52F40E31" w14:textId="47E88901" w:rsidR="00534E29" w:rsidRDefault="00534E29" w:rsidP="000079E3">
      <w:pPr>
        <w:widowControl w:val="0"/>
        <w:pBdr>
          <w:top w:val="nil"/>
          <w:left w:val="nil"/>
          <w:bottom w:val="nil"/>
          <w:right w:val="nil"/>
          <w:between w:val="nil"/>
        </w:pBdr>
        <w:spacing w:line="360" w:lineRule="auto"/>
        <w:jc w:val="center"/>
        <w:rPr>
          <w:color w:val="222222"/>
          <w:highlight w:val="white"/>
        </w:rPr>
      </w:pPr>
      <w:r>
        <w:rPr>
          <w:color w:val="222222"/>
          <w:highlight w:val="white"/>
        </w:rPr>
        <w:t>Dear Clients,</w:t>
      </w:r>
    </w:p>
    <w:p w14:paraId="7B06D05E" w14:textId="292BA400" w:rsidR="00534E29" w:rsidRDefault="000079E3" w:rsidP="00E17CF0">
      <w:pPr>
        <w:widowControl w:val="0"/>
        <w:pBdr>
          <w:top w:val="nil"/>
          <w:left w:val="nil"/>
          <w:bottom w:val="nil"/>
          <w:right w:val="nil"/>
          <w:between w:val="nil"/>
        </w:pBdr>
        <w:spacing w:line="360" w:lineRule="auto"/>
        <w:jc w:val="center"/>
        <w:rPr>
          <w:color w:val="222222"/>
          <w:highlight w:val="white"/>
        </w:rPr>
      </w:pPr>
      <w:r>
        <w:rPr>
          <w:noProof/>
        </w:rPr>
        <w:drawing>
          <wp:anchor distT="0" distB="0" distL="114300" distR="114300" simplePos="0" relativeHeight="251659776" behindDoc="0" locked="0" layoutInCell="1" allowOverlap="1" wp14:anchorId="0C152BB9" wp14:editId="11634A72">
            <wp:simplePos x="0" y="0"/>
            <wp:positionH relativeFrom="column">
              <wp:posOffset>998220</wp:posOffset>
            </wp:positionH>
            <wp:positionV relativeFrom="paragraph">
              <wp:posOffset>774700</wp:posOffset>
            </wp:positionV>
            <wp:extent cx="3943350" cy="2717165"/>
            <wp:effectExtent l="0" t="0" r="0" b="6985"/>
            <wp:wrapTopAndBottom/>
            <wp:docPr id="3" name="Picture 3" descr="https://i.gyazo.com/2078683873d5c05954994a0b118999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gyazo.com/2078683873d5c05954994a0b1189996b.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3350" cy="271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E29">
        <w:rPr>
          <w:color w:val="222222"/>
          <w:highlight w:val="white"/>
        </w:rPr>
        <w:t xml:space="preserve">The </w:t>
      </w:r>
      <w:r>
        <w:rPr>
          <w:color w:val="222222"/>
          <w:highlight w:val="white"/>
        </w:rPr>
        <w:t xml:space="preserve">2019 </w:t>
      </w:r>
      <w:r w:rsidR="00534E29">
        <w:rPr>
          <w:color w:val="222222"/>
          <w:highlight w:val="white"/>
        </w:rPr>
        <w:t xml:space="preserve">credit ratings </w:t>
      </w:r>
      <w:r>
        <w:rPr>
          <w:color w:val="222222"/>
          <w:highlight w:val="white"/>
        </w:rPr>
        <w:t>for</w:t>
      </w:r>
      <w:r w:rsidR="00534E29">
        <w:rPr>
          <w:color w:val="222222"/>
          <w:highlight w:val="white"/>
        </w:rPr>
        <w:t xml:space="preserve"> the LIBOR member banks have been released. Seven of the sixteen member banks received credit upgrades from at least one rating agency</w:t>
      </w:r>
      <w:r w:rsidR="00E17CF0">
        <w:rPr>
          <w:color w:val="222222"/>
          <w:highlight w:val="white"/>
        </w:rPr>
        <w:t>,</w:t>
      </w:r>
      <w:bookmarkStart w:id="0" w:name="_GoBack"/>
      <w:bookmarkEnd w:id="0"/>
      <w:r w:rsidR="00E17CF0">
        <w:rPr>
          <w:color w:val="222222"/>
          <w:highlight w:val="white"/>
        </w:rPr>
        <w:t xml:space="preserve"> indicating strength in the top global banks.</w:t>
      </w:r>
    </w:p>
    <w:p w14:paraId="60635616" w14:textId="2F8C2007" w:rsidR="005A2A2A" w:rsidRPr="000079E3" w:rsidRDefault="008068EE">
      <w:pPr>
        <w:widowControl w:val="0"/>
        <w:pBdr>
          <w:top w:val="nil"/>
          <w:left w:val="nil"/>
          <w:bottom w:val="nil"/>
          <w:right w:val="nil"/>
          <w:between w:val="nil"/>
        </w:pBdr>
        <w:spacing w:after="100" w:line="240" w:lineRule="auto"/>
        <w:jc w:val="center"/>
        <w:rPr>
          <w:color w:val="222222"/>
          <w:sz w:val="18"/>
          <w:szCs w:val="18"/>
          <w:highlight w:val="white"/>
        </w:rPr>
      </w:pPr>
      <w:r w:rsidRPr="000079E3">
        <w:rPr>
          <w:color w:val="222222"/>
          <w:sz w:val="18"/>
          <w:szCs w:val="18"/>
          <w:highlight w:val="white"/>
        </w:rPr>
        <w:t>Joseph Rinaldi</w:t>
      </w:r>
      <w:r w:rsidR="005A0F2B">
        <w:rPr>
          <w:color w:val="222222"/>
          <w:sz w:val="18"/>
          <w:szCs w:val="18"/>
          <w:highlight w:val="white"/>
        </w:rPr>
        <w:t>, Matthew Firth, Michael Huber</w:t>
      </w:r>
      <w:r w:rsidRPr="000079E3">
        <w:rPr>
          <w:color w:val="222222"/>
          <w:sz w:val="18"/>
          <w:szCs w:val="18"/>
          <w:highlight w:val="white"/>
        </w:rPr>
        <w:t xml:space="preserve"> </w:t>
      </w:r>
    </w:p>
    <w:p w14:paraId="5DEA761D" w14:textId="77777777" w:rsidR="005A2A2A" w:rsidRPr="000079E3" w:rsidRDefault="008068EE">
      <w:pPr>
        <w:widowControl w:val="0"/>
        <w:pBdr>
          <w:top w:val="nil"/>
          <w:left w:val="nil"/>
          <w:bottom w:val="nil"/>
          <w:right w:val="nil"/>
          <w:between w:val="nil"/>
        </w:pBdr>
        <w:spacing w:after="100" w:line="240" w:lineRule="auto"/>
        <w:jc w:val="center"/>
        <w:rPr>
          <w:color w:val="222222"/>
          <w:sz w:val="18"/>
          <w:szCs w:val="18"/>
          <w:highlight w:val="white"/>
        </w:rPr>
      </w:pPr>
      <w:r w:rsidRPr="000079E3">
        <w:rPr>
          <w:color w:val="222222"/>
          <w:sz w:val="18"/>
          <w:szCs w:val="18"/>
          <w:highlight w:val="white"/>
        </w:rPr>
        <w:t>Quantum Financial Advisors, Inc</w:t>
      </w:r>
    </w:p>
    <w:p w14:paraId="06C21480" w14:textId="77777777" w:rsidR="005A2A2A" w:rsidRPr="000079E3" w:rsidRDefault="008068EE">
      <w:pPr>
        <w:widowControl w:val="0"/>
        <w:pBdr>
          <w:top w:val="nil"/>
          <w:left w:val="nil"/>
          <w:bottom w:val="nil"/>
          <w:right w:val="nil"/>
          <w:between w:val="nil"/>
        </w:pBdr>
        <w:spacing w:after="100" w:line="240" w:lineRule="auto"/>
        <w:jc w:val="center"/>
        <w:rPr>
          <w:color w:val="222222"/>
          <w:sz w:val="18"/>
          <w:szCs w:val="18"/>
          <w:highlight w:val="white"/>
        </w:rPr>
      </w:pPr>
      <w:r w:rsidRPr="000079E3">
        <w:rPr>
          <w:color w:val="222222"/>
          <w:sz w:val="18"/>
          <w:szCs w:val="18"/>
          <w:highlight w:val="white"/>
        </w:rPr>
        <w:t>51 Monroe Street</w:t>
      </w:r>
    </w:p>
    <w:p w14:paraId="5E991D6F" w14:textId="77777777" w:rsidR="005A2A2A" w:rsidRPr="000079E3" w:rsidRDefault="008068EE">
      <w:pPr>
        <w:widowControl w:val="0"/>
        <w:pBdr>
          <w:top w:val="nil"/>
          <w:left w:val="nil"/>
          <w:bottom w:val="nil"/>
          <w:right w:val="nil"/>
          <w:between w:val="nil"/>
        </w:pBdr>
        <w:spacing w:after="100" w:line="240" w:lineRule="auto"/>
        <w:jc w:val="center"/>
        <w:rPr>
          <w:color w:val="222222"/>
          <w:sz w:val="18"/>
          <w:szCs w:val="18"/>
          <w:highlight w:val="white"/>
        </w:rPr>
      </w:pPr>
      <w:r w:rsidRPr="000079E3">
        <w:rPr>
          <w:color w:val="222222"/>
          <w:sz w:val="18"/>
          <w:szCs w:val="18"/>
          <w:highlight w:val="white"/>
        </w:rPr>
        <w:t>Rockville, MD 20850</w:t>
      </w:r>
    </w:p>
    <w:p w14:paraId="330B083D" w14:textId="77777777" w:rsidR="005A2A2A" w:rsidRPr="000079E3" w:rsidRDefault="008068EE">
      <w:pPr>
        <w:widowControl w:val="0"/>
        <w:pBdr>
          <w:top w:val="nil"/>
          <w:left w:val="nil"/>
          <w:bottom w:val="nil"/>
          <w:right w:val="nil"/>
          <w:between w:val="nil"/>
        </w:pBdr>
        <w:spacing w:after="100" w:line="240" w:lineRule="auto"/>
        <w:jc w:val="center"/>
        <w:rPr>
          <w:color w:val="222222"/>
          <w:sz w:val="18"/>
          <w:szCs w:val="18"/>
          <w:highlight w:val="white"/>
        </w:rPr>
      </w:pPr>
      <w:r w:rsidRPr="000079E3">
        <w:rPr>
          <w:color w:val="222222"/>
          <w:sz w:val="18"/>
          <w:szCs w:val="18"/>
          <w:highlight w:val="white"/>
        </w:rPr>
        <w:t>301-296-6203</w:t>
      </w:r>
    </w:p>
    <w:p w14:paraId="61E8925E" w14:textId="77777777" w:rsidR="005A2A2A" w:rsidRDefault="008068EE">
      <w:pPr>
        <w:widowControl w:val="0"/>
        <w:pBdr>
          <w:top w:val="nil"/>
          <w:left w:val="nil"/>
          <w:bottom w:val="nil"/>
          <w:right w:val="nil"/>
          <w:between w:val="nil"/>
        </w:pBdr>
        <w:spacing w:after="100"/>
        <w:rPr>
          <w:rFonts w:ascii="Times" w:eastAsia="Times" w:hAnsi="Times" w:cs="Times"/>
          <w:b/>
          <w:sz w:val="24"/>
          <w:szCs w:val="24"/>
        </w:rPr>
      </w:pPr>
      <w:r>
        <w:rPr>
          <w:noProof/>
        </w:rPr>
        <w:drawing>
          <wp:anchor distT="114300" distB="114300" distL="114300" distR="114300" simplePos="0" relativeHeight="251658240" behindDoc="0" locked="0" layoutInCell="1" hidden="0" allowOverlap="1" wp14:anchorId="186C19C8" wp14:editId="07D4DA18">
            <wp:simplePos x="0" y="0"/>
            <wp:positionH relativeFrom="column">
              <wp:posOffset>0</wp:posOffset>
            </wp:positionH>
            <wp:positionV relativeFrom="paragraph">
              <wp:posOffset>153670</wp:posOffset>
            </wp:positionV>
            <wp:extent cx="537210" cy="524510"/>
            <wp:effectExtent l="0" t="0" r="0" b="889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37210" cy="524510"/>
                    </a:xfrm>
                    <a:prstGeom prst="rect">
                      <a:avLst/>
                    </a:prstGeom>
                    <a:ln/>
                  </pic:spPr>
                </pic:pic>
              </a:graphicData>
            </a:graphic>
            <wp14:sizeRelH relativeFrom="margin">
              <wp14:pctWidth>0</wp14:pctWidth>
            </wp14:sizeRelH>
            <wp14:sizeRelV relativeFrom="margin">
              <wp14:pctHeight>0</wp14:pctHeight>
            </wp14:sizeRelV>
          </wp:anchor>
        </w:drawing>
      </w:r>
    </w:p>
    <w:p w14:paraId="3243FDBC" w14:textId="77777777" w:rsidR="005A2A2A" w:rsidRPr="000079E3" w:rsidRDefault="008068EE">
      <w:pPr>
        <w:widowControl w:val="0"/>
        <w:pBdr>
          <w:top w:val="nil"/>
          <w:left w:val="nil"/>
          <w:bottom w:val="nil"/>
          <w:right w:val="nil"/>
          <w:between w:val="nil"/>
        </w:pBdr>
        <w:spacing w:after="100" w:line="240" w:lineRule="auto"/>
        <w:jc w:val="center"/>
        <w:rPr>
          <w:rFonts w:ascii="Times" w:eastAsia="Times" w:hAnsi="Times" w:cs="Times"/>
          <w:b/>
          <w:sz w:val="20"/>
          <w:szCs w:val="20"/>
          <w:u w:val="single"/>
        </w:rPr>
      </w:pPr>
      <w:r w:rsidRPr="000079E3">
        <w:rPr>
          <w:rFonts w:ascii="Times" w:eastAsia="Times" w:hAnsi="Times" w:cs="Times"/>
          <w:b/>
          <w:sz w:val="20"/>
          <w:szCs w:val="20"/>
          <w:u w:val="single"/>
        </w:rPr>
        <w:t xml:space="preserve">If you have any </w:t>
      </w:r>
      <w:proofErr w:type="gramStart"/>
      <w:r w:rsidRPr="000079E3">
        <w:rPr>
          <w:rFonts w:ascii="Times" w:eastAsia="Times" w:hAnsi="Times" w:cs="Times"/>
          <w:b/>
          <w:sz w:val="20"/>
          <w:szCs w:val="20"/>
          <w:u w:val="single"/>
        </w:rPr>
        <w:t>questions</w:t>
      </w:r>
      <w:proofErr w:type="gramEnd"/>
      <w:r w:rsidRPr="000079E3">
        <w:rPr>
          <w:rFonts w:ascii="Times" w:eastAsia="Times" w:hAnsi="Times" w:cs="Times"/>
          <w:b/>
          <w:sz w:val="20"/>
          <w:szCs w:val="20"/>
          <w:u w:val="single"/>
        </w:rPr>
        <w:t xml:space="preserve"> feel free to contact customerservice@qfainc.com or our investor service contact Mr. Steven Nunez at 301-296-6203. </w:t>
      </w:r>
    </w:p>
    <w:p w14:paraId="7B474C0C" w14:textId="77777777" w:rsidR="005A2A2A" w:rsidRDefault="005A2A2A">
      <w:pPr>
        <w:widowControl w:val="0"/>
        <w:pBdr>
          <w:top w:val="nil"/>
          <w:left w:val="nil"/>
          <w:bottom w:val="nil"/>
          <w:right w:val="nil"/>
          <w:between w:val="nil"/>
        </w:pBdr>
        <w:spacing w:after="100"/>
        <w:rPr>
          <w:rFonts w:ascii="Times" w:eastAsia="Times" w:hAnsi="Times" w:cs="Times"/>
          <w:sz w:val="18"/>
          <w:szCs w:val="18"/>
        </w:rPr>
      </w:pPr>
    </w:p>
    <w:p w14:paraId="793D6FC0" w14:textId="77777777" w:rsidR="005A2A2A" w:rsidRDefault="008068EE">
      <w:pPr>
        <w:widowControl w:val="0"/>
        <w:pBdr>
          <w:top w:val="nil"/>
          <w:left w:val="nil"/>
          <w:bottom w:val="nil"/>
          <w:right w:val="nil"/>
          <w:between w:val="nil"/>
        </w:pBdr>
        <w:spacing w:after="100" w:line="240" w:lineRule="auto"/>
        <w:rPr>
          <w:rFonts w:ascii="Times" w:eastAsia="Times" w:hAnsi="Times" w:cs="Times"/>
          <w:b/>
          <w:sz w:val="16"/>
          <w:szCs w:val="16"/>
        </w:rPr>
      </w:pPr>
      <w:r>
        <w:rPr>
          <w:rFonts w:ascii="Times" w:eastAsia="Times" w:hAnsi="Times" w:cs="Times"/>
          <w:color w:val="000000"/>
          <w:sz w:val="16"/>
          <w:szCs w:val="16"/>
        </w:rPr>
        <w:t>Disclosures______________________________________________________________________________________________</w:t>
      </w:r>
    </w:p>
    <w:p w14:paraId="44F521A5" w14:textId="77777777" w:rsidR="005A2A2A" w:rsidRPr="000079E3" w:rsidRDefault="008068EE">
      <w:pPr>
        <w:widowControl w:val="0"/>
        <w:pBdr>
          <w:top w:val="nil"/>
          <w:left w:val="nil"/>
          <w:bottom w:val="nil"/>
          <w:right w:val="nil"/>
          <w:between w:val="nil"/>
        </w:pBdr>
        <w:spacing w:after="100" w:line="240" w:lineRule="auto"/>
        <w:jc w:val="both"/>
        <w:rPr>
          <w:rFonts w:ascii="Times" w:eastAsia="Times" w:hAnsi="Times" w:cs="Times"/>
          <w:b/>
          <w:color w:val="000000"/>
          <w:sz w:val="14"/>
          <w:szCs w:val="14"/>
        </w:rPr>
      </w:pPr>
      <w:r w:rsidRPr="000079E3">
        <w:rPr>
          <w:rFonts w:ascii="Times" w:eastAsia="Times" w:hAnsi="Times" w:cs="Times"/>
          <w:b/>
          <w:color w:val="000000"/>
          <w:sz w:val="14"/>
          <w:szCs w:val="14"/>
        </w:rPr>
        <w:t>This report does not provide individually tailored investment advice. It has been prepared without regard to the individual financial circumstances an</w:t>
      </w:r>
      <w:r w:rsidRPr="000079E3">
        <w:rPr>
          <w:rFonts w:ascii="Times" w:eastAsia="Times" w:hAnsi="Times" w:cs="Times"/>
          <w:b/>
          <w:color w:val="000000"/>
          <w:sz w:val="14"/>
          <w:szCs w:val="14"/>
        </w:rPr>
        <w:t xml:space="preserve">d objectives of the person who received it. The securities discussed in this report may not be suitable for all investors. QFA recommends that investors independently evaluate particular investments and </w:t>
      </w:r>
      <w:proofErr w:type="gramStart"/>
      <w:r w:rsidRPr="000079E3">
        <w:rPr>
          <w:rFonts w:ascii="Times" w:eastAsia="Times" w:hAnsi="Times" w:cs="Times"/>
          <w:b/>
          <w:color w:val="000000"/>
          <w:sz w:val="14"/>
          <w:szCs w:val="14"/>
        </w:rPr>
        <w:t>strategies, and</w:t>
      </w:r>
      <w:proofErr w:type="gramEnd"/>
      <w:r w:rsidRPr="000079E3">
        <w:rPr>
          <w:rFonts w:ascii="Times" w:eastAsia="Times" w:hAnsi="Times" w:cs="Times"/>
          <w:b/>
          <w:color w:val="000000"/>
          <w:sz w:val="14"/>
          <w:szCs w:val="14"/>
        </w:rPr>
        <w:t xml:space="preserve"> encourages investors to consult with </w:t>
      </w:r>
      <w:r w:rsidRPr="000079E3">
        <w:rPr>
          <w:rFonts w:ascii="Times" w:eastAsia="Times" w:hAnsi="Times" w:cs="Times"/>
          <w:b/>
          <w:color w:val="000000"/>
          <w:sz w:val="14"/>
          <w:szCs w:val="14"/>
        </w:rPr>
        <w:t>their QFA investment advisor. The appropriateness of a particular investment strategy will depend on an investor’s individual circumstances and objectives.</w:t>
      </w:r>
    </w:p>
    <w:p w14:paraId="0B188B64" w14:textId="77777777" w:rsidR="005A2A2A" w:rsidRPr="000079E3" w:rsidRDefault="008068EE">
      <w:pPr>
        <w:widowControl w:val="0"/>
        <w:pBdr>
          <w:top w:val="nil"/>
          <w:left w:val="nil"/>
          <w:bottom w:val="nil"/>
          <w:right w:val="nil"/>
          <w:between w:val="nil"/>
        </w:pBdr>
        <w:spacing w:after="100" w:line="240" w:lineRule="auto"/>
        <w:jc w:val="both"/>
        <w:rPr>
          <w:rFonts w:ascii="Times" w:eastAsia="Times" w:hAnsi="Times" w:cs="Times"/>
          <w:b/>
          <w:color w:val="000000"/>
          <w:sz w:val="14"/>
          <w:szCs w:val="14"/>
        </w:rPr>
      </w:pPr>
      <w:r w:rsidRPr="000079E3">
        <w:rPr>
          <w:rFonts w:ascii="Times" w:eastAsia="Times" w:hAnsi="Times" w:cs="Times"/>
          <w:b/>
          <w:color w:val="000000"/>
          <w:sz w:val="14"/>
          <w:szCs w:val="14"/>
        </w:rPr>
        <w:t>This report is not an offer to buy or sell any security or to participate in any trading strategy. Q</w:t>
      </w:r>
      <w:r w:rsidRPr="000079E3">
        <w:rPr>
          <w:rFonts w:ascii="Times" w:eastAsia="Times" w:hAnsi="Times" w:cs="Times"/>
          <w:b/>
          <w:color w:val="000000"/>
          <w:sz w:val="14"/>
          <w:szCs w:val="14"/>
        </w:rPr>
        <w:t>FA or its partner or clients may have existing positions in any security discussed in this report. In addition, QFA makes every effort to use reliable, comprehensive information, but we make no representation that it is accurate or complete. QFA has no obl</w:t>
      </w:r>
      <w:r w:rsidRPr="000079E3">
        <w:rPr>
          <w:rFonts w:ascii="Times" w:eastAsia="Times" w:hAnsi="Times" w:cs="Times"/>
          <w:b/>
          <w:color w:val="000000"/>
          <w:sz w:val="14"/>
          <w:szCs w:val="14"/>
        </w:rPr>
        <w:t xml:space="preserve">igation to inform you when opinions on strategies, sectors, investments and companies change. QFA on an annual basis will offer its updated ADV Part II and disclose what the company and its partner </w:t>
      </w:r>
      <w:proofErr w:type="gramStart"/>
      <w:r w:rsidRPr="000079E3">
        <w:rPr>
          <w:rFonts w:ascii="Times" w:eastAsia="Times" w:hAnsi="Times" w:cs="Times"/>
          <w:b/>
          <w:color w:val="000000"/>
          <w:sz w:val="14"/>
          <w:szCs w:val="14"/>
        </w:rPr>
        <w:t>owns</w:t>
      </w:r>
      <w:proofErr w:type="gramEnd"/>
      <w:r w:rsidRPr="000079E3">
        <w:rPr>
          <w:rFonts w:ascii="Times" w:eastAsia="Times" w:hAnsi="Times" w:cs="Times"/>
          <w:b/>
          <w:color w:val="000000"/>
          <w:sz w:val="14"/>
          <w:szCs w:val="14"/>
        </w:rPr>
        <w:t xml:space="preserve">. This information shall be accessible to QFA clients </w:t>
      </w:r>
      <w:r w:rsidRPr="000079E3">
        <w:rPr>
          <w:rFonts w:ascii="Times" w:eastAsia="Times" w:hAnsi="Times" w:cs="Times"/>
          <w:b/>
          <w:color w:val="000000"/>
          <w:sz w:val="14"/>
          <w:szCs w:val="14"/>
        </w:rPr>
        <w:t>only under the client tab of QFAInc.com.</w:t>
      </w:r>
    </w:p>
    <w:p w14:paraId="47A823A4" w14:textId="77777777" w:rsidR="005A2A2A" w:rsidRPr="000079E3" w:rsidRDefault="008068EE">
      <w:pPr>
        <w:widowControl w:val="0"/>
        <w:pBdr>
          <w:top w:val="nil"/>
          <w:left w:val="nil"/>
          <w:bottom w:val="nil"/>
          <w:right w:val="nil"/>
          <w:between w:val="nil"/>
        </w:pBdr>
        <w:spacing w:after="100" w:line="240" w:lineRule="auto"/>
        <w:jc w:val="both"/>
        <w:rPr>
          <w:rFonts w:ascii="Times" w:eastAsia="Times" w:hAnsi="Times" w:cs="Times"/>
          <w:b/>
          <w:color w:val="000000"/>
          <w:sz w:val="14"/>
          <w:szCs w:val="14"/>
        </w:rPr>
      </w:pPr>
      <w:r w:rsidRPr="000079E3">
        <w:rPr>
          <w:rFonts w:ascii="Times" w:eastAsia="Times" w:hAnsi="Times" w:cs="Times"/>
          <w:b/>
          <w:color w:val="000000"/>
          <w:sz w:val="14"/>
          <w:szCs w:val="14"/>
        </w:rPr>
        <w:t>QFA does not receive compensation for any broadcasts or written research that are offered to clients. The firm charges an asset management fee, per hour fee and / or a financial planning fee for services rendered. T</w:t>
      </w:r>
      <w:r w:rsidRPr="000079E3">
        <w:rPr>
          <w:rFonts w:ascii="Times" w:eastAsia="Times" w:hAnsi="Times" w:cs="Times"/>
          <w:b/>
          <w:color w:val="000000"/>
          <w:sz w:val="14"/>
          <w:szCs w:val="14"/>
        </w:rPr>
        <w:t>his report or any portion hereof may not be reprinted, sold or redistributed without the written consent of QFA. All broadcasts are disseminated both electronically and in printed form.</w:t>
      </w:r>
    </w:p>
    <w:sectPr w:rsidR="005A2A2A" w:rsidRPr="000079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2A"/>
    <w:rsid w:val="000079E3"/>
    <w:rsid w:val="00081B6E"/>
    <w:rsid w:val="00534E29"/>
    <w:rsid w:val="005A0F2B"/>
    <w:rsid w:val="005A2A2A"/>
    <w:rsid w:val="008068EE"/>
    <w:rsid w:val="00E1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0CE7"/>
  <w15:docId w15:val="{971B8C9A-F33D-49C8-A655-FA0A617E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4E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Firth</cp:lastModifiedBy>
  <cp:revision>2</cp:revision>
  <dcterms:created xsi:type="dcterms:W3CDTF">2019-04-09T19:59:00Z</dcterms:created>
  <dcterms:modified xsi:type="dcterms:W3CDTF">2019-04-09T19:59:00Z</dcterms:modified>
</cp:coreProperties>
</file>