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Memorandum</w:t>
      </w:r>
    </w:p>
    <w:p w:rsidR="00000000" w:rsidDel="00000000" w:rsidP="00000000" w:rsidRDefault="00000000" w:rsidRPr="00000000" w14:paraId="00000002">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tab/>
        <w:t xml:space="preserve"> January 28th, 2024</w:t>
      </w:r>
    </w:p>
    <w:p w:rsidR="00000000" w:rsidDel="00000000" w:rsidP="00000000" w:rsidRDefault="00000000" w:rsidRPr="00000000" w14:paraId="00000003">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w:t>
        <w:tab/>
        <w:t xml:space="preserve"> Joseph Rinaldi, President &amp; CIO</w:t>
      </w:r>
    </w:p>
    <w:p w:rsidR="00000000" w:rsidDel="00000000" w:rsidP="00000000" w:rsidRDefault="00000000" w:rsidRPr="00000000" w14:paraId="00000004">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w:t>
        <w:tab/>
        <w:t xml:space="preserve"> Michael Huber, Senior Advisor </w:t>
      </w:r>
    </w:p>
    <w:p w:rsidR="00000000" w:rsidDel="00000000" w:rsidP="00000000" w:rsidRDefault="00000000" w:rsidRPr="00000000" w14:paraId="00000005">
      <w:pPr>
        <w:spacing w:after="200"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w:t>
        <w:tab/>
        <w:t xml:space="preserve">QFA Promotional Services Through Our Collaborative Partners </w:t>
      </w:r>
    </w:p>
    <w:p w:rsidR="00000000" w:rsidDel="00000000" w:rsidP="00000000" w:rsidRDefault="00000000" w:rsidRPr="00000000" w14:paraId="00000006">
      <w:pPr>
        <w:spacing w:after="200" w:before="200" w:lineRule="auto"/>
        <w:jc w:val="center"/>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Special Offers For Clients Made Possible Through Our Partnerships</w:t>
      </w:r>
      <w:r w:rsidDel="00000000" w:rsidR="00000000" w:rsidRPr="00000000">
        <w:rPr>
          <w:rtl w:val="0"/>
        </w:rPr>
      </w:r>
    </w:p>
    <w:p w:rsidR="00000000" w:rsidDel="00000000" w:rsidP="00000000" w:rsidRDefault="00000000" w:rsidRPr="00000000" w14:paraId="00000007">
      <w:pPr>
        <w:spacing w:after="200" w:before="200" w:line="276" w:lineRule="auto"/>
        <w:ind w:left="72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Mortgage Discounts: </w:t>
      </w:r>
      <w:r w:rsidDel="00000000" w:rsidR="00000000" w:rsidRPr="00000000">
        <w:rPr>
          <w:rFonts w:ascii="Times New Roman" w:cs="Times New Roman" w:eastAsia="Times New Roman" w:hAnsi="Times New Roman"/>
          <w:color w:val="374151"/>
          <w:sz w:val="24"/>
          <w:szCs w:val="24"/>
          <w:rtl w:val="0"/>
        </w:rPr>
        <w:t xml:space="preserve">Through our partnership with a leading mortgage lender, clients are eligible for exclusive mortgage rate discounts, making home ownership more attainable and affordable. This collaboration merges our dedication to financial empowerment with innovative home financing solutions.</w:t>
      </w:r>
    </w:p>
    <w:p w:rsidR="00000000" w:rsidDel="00000000" w:rsidP="00000000" w:rsidRDefault="00000000" w:rsidRPr="00000000" w14:paraId="00000008">
      <w:pPr>
        <w:spacing w:before="200" w:line="276" w:lineRule="auto"/>
        <w:ind w:left="72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Next Generation Offer: </w:t>
      </w:r>
      <w:r w:rsidDel="00000000" w:rsidR="00000000" w:rsidRPr="00000000">
        <w:rPr>
          <w:rFonts w:ascii="Times New Roman" w:cs="Times New Roman" w:eastAsia="Times New Roman" w:hAnsi="Times New Roman"/>
          <w:color w:val="374151"/>
          <w:sz w:val="24"/>
          <w:szCs w:val="24"/>
          <w:rtl w:val="0"/>
        </w:rPr>
        <w:t xml:space="preserve">QFA’s Family Plan offers an exclusive benefit for clients with account balances over $250,000, allowing them to open up to 3 accounts for their children with absolutely no fees, including management fees, for the first 12 months. This initiative is designed to help families invest in their children's future while enjoying significant savings. </w:t>
      </w:r>
    </w:p>
    <w:p w:rsidR="00000000" w:rsidDel="00000000" w:rsidP="00000000" w:rsidRDefault="00000000" w:rsidRPr="00000000" w14:paraId="00000009">
      <w:pPr>
        <w:spacing w:before="200" w:line="276" w:lineRule="auto"/>
        <w:ind w:left="720" w:firstLine="0"/>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b w:val="1"/>
          <w:color w:val="374151"/>
          <w:sz w:val="24"/>
          <w:szCs w:val="24"/>
          <w:rtl w:val="0"/>
        </w:rPr>
        <w:t xml:space="preserve">Tax &amp; Accounting Discounts: </w:t>
      </w:r>
      <w:r w:rsidDel="00000000" w:rsidR="00000000" w:rsidRPr="00000000">
        <w:rPr>
          <w:rFonts w:ascii="Times New Roman" w:cs="Times New Roman" w:eastAsia="Times New Roman" w:hAnsi="Times New Roman"/>
          <w:color w:val="374151"/>
          <w:sz w:val="24"/>
          <w:szCs w:val="24"/>
          <w:rtl w:val="0"/>
        </w:rPr>
        <w:t xml:space="preserve">Benefit from our strategic partnerships with leading accounting firms, which enable our clients to access exclusive discounts on tax and accounting services. This collaboration is designed to support your financial health by offering cost-effective solutions for managing your taxes and financial records. </w:t>
      </w:r>
    </w:p>
    <w:p w:rsidR="00000000" w:rsidDel="00000000" w:rsidP="00000000" w:rsidRDefault="00000000" w:rsidRPr="00000000" w14:paraId="0000000A">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300" w:line="276" w:lineRule="auto"/>
        <w:ind w:left="720" w:hanging="360"/>
        <w:rPr>
          <w:b w:val="1"/>
        </w:rPr>
      </w:pPr>
      <w:r w:rsidDel="00000000" w:rsidR="00000000" w:rsidRPr="00000000">
        <w:rPr>
          <w:rFonts w:ascii="Times New Roman" w:cs="Times New Roman" w:eastAsia="Times New Roman" w:hAnsi="Times New Roman"/>
          <w:b w:val="1"/>
          <w:color w:val="374151"/>
          <w:sz w:val="24"/>
          <w:szCs w:val="24"/>
          <w:rtl w:val="0"/>
        </w:rPr>
        <w:t xml:space="preserve">Referral Bonuses:</w:t>
      </w:r>
      <w:r w:rsidDel="00000000" w:rsidR="00000000" w:rsidRPr="00000000">
        <w:rPr>
          <w:rFonts w:ascii="Times New Roman" w:cs="Times New Roman" w:eastAsia="Times New Roman" w:hAnsi="Times New Roman"/>
          <w:color w:val="374151"/>
          <w:sz w:val="24"/>
          <w:szCs w:val="24"/>
          <w:rtl w:val="0"/>
        </w:rPr>
        <w:t xml:space="preserve"> Referred clients can earn up to $1,000 by opening a new account and making a qualifying net deposit within 45 days. The bonus amount ranges from $100 for a net deposit of $25,000 - $49,999 to $1,000 for a net deposit of $500,000 or more​​​​.</w:t>
      </w:r>
    </w:p>
    <w:p w:rsidR="00000000" w:rsidDel="00000000" w:rsidP="00000000" w:rsidRDefault="00000000" w:rsidRPr="00000000" w14:paraId="0000000B">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rFonts w:ascii="Times New Roman" w:cs="Times New Roman" w:eastAsia="Times New Roman" w:hAnsi="Times New Roman"/>
          <w:color w:val="374151"/>
        </w:rPr>
      </w:pPr>
      <w:r w:rsidDel="00000000" w:rsidR="00000000" w:rsidRPr="00000000">
        <w:rPr>
          <w:rtl w:val="0"/>
        </w:rPr>
      </w:r>
    </w:p>
    <w:p w:rsidR="00000000" w:rsidDel="00000000" w:rsidP="00000000" w:rsidRDefault="00000000" w:rsidRPr="00000000" w14:paraId="0000000C">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b w:val="1"/>
        </w:rPr>
      </w:pPr>
      <w:r w:rsidDel="00000000" w:rsidR="00000000" w:rsidRPr="00000000">
        <w:rPr>
          <w:rFonts w:ascii="Times New Roman" w:cs="Times New Roman" w:eastAsia="Times New Roman" w:hAnsi="Times New Roman"/>
          <w:b w:val="1"/>
          <w:color w:val="374151"/>
          <w:sz w:val="24"/>
          <w:szCs w:val="24"/>
          <w:rtl w:val="0"/>
        </w:rPr>
        <w:t xml:space="preserve">No Account Minimums or Commissions:</w:t>
      </w:r>
      <w:r w:rsidDel="00000000" w:rsidR="00000000" w:rsidRPr="00000000">
        <w:rPr>
          <w:rFonts w:ascii="Times New Roman" w:cs="Times New Roman" w:eastAsia="Times New Roman" w:hAnsi="Times New Roman"/>
          <w:color w:val="374151"/>
          <w:sz w:val="24"/>
          <w:szCs w:val="24"/>
          <w:rtl w:val="0"/>
        </w:rPr>
        <w:t xml:space="preserve"> QFA does not require account minimums for opening most types of accounts and we offer $0 commission on U.S. stock trades​​​​.</w:t>
      </w:r>
    </w:p>
    <w:p w:rsidR="00000000" w:rsidDel="00000000" w:rsidP="00000000" w:rsidRDefault="00000000" w:rsidRPr="00000000" w14:paraId="0000000D">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276" w:lineRule="auto"/>
        <w:ind w:left="72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300" w:before="0" w:beforeAutospacing="0" w:line="276" w:lineRule="auto"/>
        <w:ind w:left="720" w:hanging="360"/>
        <w:rPr>
          <w:b w:val="1"/>
        </w:rPr>
      </w:pPr>
      <w:r w:rsidDel="00000000" w:rsidR="00000000" w:rsidRPr="00000000">
        <w:rPr>
          <w:rFonts w:ascii="Times New Roman" w:cs="Times New Roman" w:eastAsia="Times New Roman" w:hAnsi="Times New Roman"/>
          <w:b w:val="1"/>
          <w:color w:val="374151"/>
          <w:sz w:val="24"/>
          <w:szCs w:val="24"/>
          <w:rtl w:val="0"/>
        </w:rPr>
        <w:t xml:space="preserve">Seasonal Promotions:</w:t>
      </w:r>
      <w:r w:rsidDel="00000000" w:rsidR="00000000" w:rsidRPr="00000000">
        <w:rPr>
          <w:rFonts w:ascii="Times New Roman" w:cs="Times New Roman" w:eastAsia="Times New Roman" w:hAnsi="Times New Roman"/>
          <w:color w:val="374151"/>
          <w:sz w:val="24"/>
          <w:szCs w:val="24"/>
          <w:rtl w:val="0"/>
        </w:rPr>
        <w:t xml:space="preserve"> We also offer seasonal promotions like rounds of golf or ski lift vouchers for qualifying deposits into a taxable brokerage account during specific periods​​.</w:t>
      </w:r>
    </w:p>
    <w:p w:rsidR="00000000" w:rsidDel="00000000" w:rsidP="00000000" w:rsidRDefault="00000000" w:rsidRPr="00000000" w14:paraId="0000000F">
      <w:pPr>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360" w:lineRule="auto"/>
        <w:ind w:left="720" w:hanging="360"/>
        <w:jc w:val="center"/>
        <w:rPr>
          <w:b w:val="1"/>
        </w:rPr>
      </w:pPr>
      <w:r w:rsidDel="00000000" w:rsidR="00000000" w:rsidRPr="00000000">
        <w:rPr>
          <w:rFonts w:ascii="Times New Roman" w:cs="Times New Roman" w:eastAsia="Times New Roman" w:hAnsi="Times New Roman"/>
          <w:i w:val="1"/>
          <w:color w:val="374151"/>
          <w:sz w:val="18"/>
          <w:szCs w:val="18"/>
          <w:rtl w:val="0"/>
        </w:rPr>
        <w:t xml:space="preserve">*Offers made possible through QFA and our partners, Charles Schwab &amp; Co, Rocket Mortgage, and network of preferred partners.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720" w:right="864" w:header="1152"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nkGothic Md BT"/>
  <w:font w:name="BankGothic Lt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320"/>
        <w:tab w:val="right" w:leader="none" w:pos="8640"/>
      </w:tabs>
      <w:jc w:val="both"/>
      <w:rPr>
        <w:rFonts w:ascii="Times New Roman" w:cs="Times New Roman" w:eastAsia="Times New Roman" w:hAnsi="Times New Roman"/>
        <w:b w:val="1"/>
        <w:color w:val="000080"/>
      </w:rPr>
    </w:pPr>
    <w:r w:rsidDel="00000000" w:rsidR="00000000" w:rsidRPr="00000000">
      <w:rPr>
        <w:rFonts w:ascii="Times New Roman" w:cs="Times New Roman" w:eastAsia="Times New Roman" w:hAnsi="Times New Roman"/>
        <w:b w:val="1"/>
        <w:color w:val="00008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320"/>
        <w:tab w:val="right" w:leader="none" w:pos="8640"/>
      </w:tabs>
      <w:jc w:val="both"/>
      <w:rPr>
        <w:rFonts w:ascii="Times New Roman" w:cs="Times New Roman" w:eastAsia="Times New Roman" w:hAnsi="Times New Roman"/>
        <w:b w:val="1"/>
        <w:color w:val="000080"/>
      </w:rPr>
    </w:pPr>
    <w:r w:rsidDel="00000000" w:rsidR="00000000" w:rsidRPr="00000000">
      <w:rPr>
        <w:rFonts w:ascii="Times New Roman" w:cs="Times New Roman" w:eastAsia="Times New Roman" w:hAnsi="Times New Roman"/>
        <w:b w:val="1"/>
        <w:color w:val="000080"/>
        <w:rtl w:val="0"/>
      </w:rPr>
      <w:tab/>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320"/>
        <w:tab w:val="right" w:leader="none" w:pos="8640"/>
      </w:tabs>
      <w:jc w:val="both"/>
      <w:rPr>
        <w:rFonts w:ascii="BankGothic Md BT" w:cs="BankGothic Md BT" w:eastAsia="BankGothic Md BT" w:hAnsi="BankGothic Md BT"/>
        <w:b w:val="1"/>
        <w:color w:val="000080"/>
        <w:sz w:val="14"/>
        <w:szCs w:val="14"/>
      </w:rPr>
    </w:pPr>
    <w:r w:rsidDel="00000000" w:rsidR="00000000" w:rsidRPr="00000000">
      <w:rPr>
        <w:rFonts w:ascii="BankGothic Md BT" w:cs="BankGothic Md BT" w:eastAsia="BankGothic Md BT" w:hAnsi="BankGothic Md BT"/>
        <w:b w:val="1"/>
        <w:color w:val="000080"/>
        <w:sz w:val="14"/>
        <w:szCs w:val="14"/>
        <w:rtl w:val="0"/>
      </w:rPr>
      <w:t xml:space="preserve">                                                                                                         </w:t>
      <w:tab/>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320"/>
        <w:tab w:val="right" w:leader="none" w:pos="8640"/>
      </w:tabs>
      <w:jc w:val="both"/>
      <w:rPr>
        <w:rFonts w:ascii="BankGothic Md BT" w:cs="BankGothic Md BT" w:eastAsia="BankGothic Md BT" w:hAnsi="BankGothic Md BT"/>
        <w:b w:val="1"/>
        <w:color w:val="1f4e79"/>
        <w:sz w:val="16"/>
        <w:szCs w:val="16"/>
      </w:rPr>
    </w:pPr>
    <w:r w:rsidDel="00000000" w:rsidR="00000000" w:rsidRPr="00000000">
      <w:rPr>
        <w:rFonts w:ascii="BankGothic Md BT" w:cs="BankGothic Md BT" w:eastAsia="BankGothic Md BT" w:hAnsi="BankGothic Md BT"/>
        <w:b w:val="1"/>
        <w:color w:val="000080"/>
        <w:sz w:val="16"/>
        <w:szCs w:val="16"/>
        <w:rtl w:val="0"/>
      </w:rPr>
      <w:tab/>
    </w:r>
    <w:r w:rsidDel="00000000" w:rsidR="00000000" w:rsidRPr="00000000">
      <w:rPr>
        <w:rFonts w:ascii="BankGothic Md BT" w:cs="BankGothic Md BT" w:eastAsia="BankGothic Md BT" w:hAnsi="BankGothic Md BT"/>
        <w:b w:val="1"/>
        <w:color w:val="1f4e79"/>
        <w:sz w:val="16"/>
        <w:szCs w:val="16"/>
        <w:rtl w:val="0"/>
      </w:rPr>
      <w:t xml:space="preserve">                                    Tel: +1 301-296-6203, Fax: +1 202-955-9204, Web Site: QFAInc.com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320"/>
        <w:tab w:val="right" w:leader="none" w:pos="8640"/>
      </w:tabs>
      <w:jc w:val="both"/>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ab/>
      <w:t xml:space="preserve">      </w:t>
    </w:r>
    <w:r w:rsidDel="00000000" w:rsidR="00000000" w:rsidRPr="00000000">
      <w:rPr>
        <w:rFonts w:ascii="BankGothic Md BT" w:cs="BankGothic Md BT" w:eastAsia="BankGothic Md BT" w:hAnsi="BankGothic Md BT"/>
        <w:b w:val="1"/>
        <w:color w:val="000080"/>
        <w:sz w:val="14"/>
        <w:szCs w:val="14"/>
        <w:rtl w:val="0"/>
      </w:rPr>
      <w:t xml:space="preserve">                     Tel: +1 202-955-9201, Fax: +1 202-955-9204, Web Site: QFAInc.com</w:t>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1"/>
      <w:jc w:val="left"/>
      <w:rPr>
        <w:rFonts w:ascii="Arial Narrow" w:cs="Arial Narrow" w:eastAsia="Arial Narrow" w:hAnsi="Arial Narrow"/>
        <w:b w:val="1"/>
        <w:color w:val="1f4e79"/>
        <w:sz w:val="18"/>
        <w:szCs w:val="18"/>
        <w:u w:val="single"/>
      </w:rPr>
    </w:pPr>
    <w:r w:rsidDel="00000000" w:rsidR="00000000" w:rsidRPr="00000000">
      <w:rPr>
        <w:color w:val="1f4e79"/>
        <w:u w:val="single"/>
      </w:rPr>
      <w:drawing>
        <wp:inline distB="0" distT="0" distL="0" distR="0">
          <wp:extent cx="2298700" cy="768350"/>
          <wp:effectExtent b="0" l="0" r="0" t="0"/>
          <wp:docPr descr="QFA-Logo2-color (640x256)" id="2" name="image1.jpg"/>
          <a:graphic>
            <a:graphicData uri="http://schemas.openxmlformats.org/drawingml/2006/picture">
              <pic:pic>
                <pic:nvPicPr>
                  <pic:cNvPr descr="QFA-Logo2-color (640x256)" id="0" name="image1.jpg"/>
                  <pic:cNvPicPr preferRelativeResize="0"/>
                </pic:nvPicPr>
                <pic:blipFill>
                  <a:blip r:embed="rId1"/>
                  <a:srcRect b="0" l="0" r="0" t="0"/>
                  <a:stretch>
                    <a:fillRect/>
                  </a:stretch>
                </pic:blipFill>
                <pic:spPr>
                  <a:xfrm>
                    <a:off x="0" y="0"/>
                    <a:ext cx="2298700" cy="768350"/>
                  </a:xfrm>
                  <a:prstGeom prst="rect"/>
                  <a:ln/>
                </pic:spPr>
              </pic:pic>
            </a:graphicData>
          </a:graphic>
        </wp:inline>
      </w:drawing>
    </w:r>
    <w:r w:rsidDel="00000000" w:rsidR="00000000" w:rsidRPr="00000000">
      <w:rPr>
        <w:rFonts w:ascii="Arial Narrow" w:cs="Arial Narrow" w:eastAsia="Arial Narrow" w:hAnsi="Arial Narrow"/>
        <w:b w:val="1"/>
        <w:color w:val="1f4e79"/>
        <w:sz w:val="20"/>
        <w:szCs w:val="20"/>
        <w:u w:val="single"/>
        <w:rtl w:val="0"/>
      </w:rPr>
      <w:t xml:space="preserve">                                                                      </w:t>
    </w:r>
    <w:r w:rsidDel="00000000" w:rsidR="00000000" w:rsidRPr="00000000">
      <w:rPr>
        <w:rFonts w:ascii="Arial Narrow" w:cs="Arial Narrow" w:eastAsia="Arial Narrow" w:hAnsi="Arial Narrow"/>
        <w:b w:val="1"/>
        <w:color w:val="1f4e79"/>
        <w:sz w:val="18"/>
        <w:szCs w:val="18"/>
        <w:u w:val="single"/>
        <w:rtl w:val="0"/>
      </w:rPr>
      <w:t xml:space="preserve">51 Monroe St, Suite 1902, Rockville, MD 20850</w:t>
    </w:r>
  </w:p>
  <w:p w:rsidR="00000000" w:rsidDel="00000000" w:rsidP="00000000" w:rsidRDefault="00000000" w:rsidRPr="00000000" w14:paraId="0000001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rFonts w:ascii="Times New Roman" w:cs="Times New Roman" w:eastAsia="Times New Roman" w:hAnsi="Times New Roman"/>
        <w:i w:val="1"/>
        <w:color w:val="37415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BankGothic Lt BT" w:cs="BankGothic Lt BT" w:eastAsia="BankGothic Lt BT" w:hAnsi="BankGothic Lt BT"/>
      <w:sz w:val="72"/>
      <w:szCs w:val="72"/>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jc w:val="both"/>
    </w:pPr>
    <w:rPr>
      <w:sz w:val="24"/>
      <w:szCs w:val="24"/>
    </w:rPr>
  </w:style>
  <w:style w:type="paragraph" w:styleId="Heading4">
    <w:name w:val="heading 4"/>
    <w:basedOn w:val="Normal"/>
    <w:next w:val="Normal"/>
    <w:pPr>
      <w:keepNext w:val="1"/>
      <w:jc w:val="both"/>
    </w:pPr>
    <w:rPr>
      <w:b w:val="1"/>
      <w:i w:val="1"/>
    </w:rPr>
  </w:style>
  <w:style w:type="paragraph" w:styleId="Heading5">
    <w:name w:val="heading 5"/>
    <w:basedOn w:val="Normal"/>
    <w:next w:val="Normal"/>
    <w:pPr>
      <w:keepNext w:val="1"/>
      <w:jc w:val="both"/>
    </w:pPr>
    <w:rPr>
      <w:b w:val="1"/>
    </w:rPr>
  </w:style>
  <w:style w:type="paragraph" w:styleId="Heading6">
    <w:name w:val="heading 6"/>
    <w:basedOn w:val="Normal"/>
    <w:next w:val="Normal"/>
    <w:pPr>
      <w:keepNext w:val="1"/>
      <w:jc w:val="both"/>
    </w:pPr>
    <w:rPr>
      <w:b w:val="1"/>
      <w:sz w:val="24"/>
      <w:szCs w:val="24"/>
    </w:rPr>
  </w:style>
  <w:style w:type="paragraph" w:styleId="Title">
    <w:name w:val="Title"/>
    <w:basedOn w:val="Normal"/>
    <w:next w:val="Normal"/>
    <w:pPr>
      <w:jc w:val="center"/>
    </w:pPr>
    <w:rPr>
      <w:b w:val="1"/>
      <w:sz w:val="24"/>
      <w:szCs w:val="24"/>
    </w:rPr>
  </w:style>
  <w:style w:type="paragraph" w:styleId="Normal" w:default="1">
    <w:name w:val="Normal"/>
  </w:style>
  <w:style w:type="paragraph" w:styleId="Heading1">
    <w:name w:val="heading 1"/>
    <w:basedOn w:val="Normal"/>
    <w:next w:val="Normal"/>
    <w:pPr>
      <w:keepNext w:val="1"/>
      <w:jc w:val="center"/>
      <w:outlineLvl w:val="0"/>
    </w:pPr>
    <w:rPr>
      <w:rFonts w:ascii="BankGothic Lt BT" w:cs="BankGothic Lt BT" w:eastAsia="BankGothic Lt BT" w:hAnsi="BankGothic Lt BT"/>
      <w:sz w:val="72"/>
      <w:szCs w:val="72"/>
    </w:rPr>
  </w:style>
  <w:style w:type="paragraph" w:styleId="Heading2">
    <w:name w:val="heading 2"/>
    <w:basedOn w:val="Normal"/>
    <w:next w:val="Normal"/>
    <w:pPr>
      <w:keepNext w:val="1"/>
      <w:spacing w:after="60" w:before="240"/>
      <w:outlineLvl w:val="1"/>
    </w:pPr>
    <w:rPr>
      <w:b w:val="1"/>
      <w:i w:val="1"/>
      <w:sz w:val="24"/>
      <w:szCs w:val="24"/>
    </w:rPr>
  </w:style>
  <w:style w:type="paragraph" w:styleId="Heading3">
    <w:name w:val="heading 3"/>
    <w:basedOn w:val="Normal"/>
    <w:next w:val="Normal"/>
    <w:pPr>
      <w:keepNext w:val="1"/>
      <w:jc w:val="both"/>
      <w:outlineLvl w:val="2"/>
    </w:pPr>
    <w:rPr>
      <w:sz w:val="24"/>
      <w:szCs w:val="24"/>
    </w:rPr>
  </w:style>
  <w:style w:type="paragraph" w:styleId="Heading4">
    <w:name w:val="heading 4"/>
    <w:basedOn w:val="Normal"/>
    <w:next w:val="Normal"/>
    <w:pPr>
      <w:keepNext w:val="1"/>
      <w:jc w:val="both"/>
      <w:outlineLvl w:val="3"/>
    </w:pPr>
    <w:rPr>
      <w:b w:val="1"/>
      <w:i w:val="1"/>
    </w:rPr>
  </w:style>
  <w:style w:type="paragraph" w:styleId="Heading5">
    <w:name w:val="heading 5"/>
    <w:basedOn w:val="Normal"/>
    <w:next w:val="Normal"/>
    <w:pPr>
      <w:keepNext w:val="1"/>
      <w:jc w:val="both"/>
      <w:outlineLvl w:val="4"/>
    </w:pPr>
    <w:rPr>
      <w:b w:val="1"/>
    </w:rPr>
  </w:style>
  <w:style w:type="paragraph" w:styleId="Heading6">
    <w:name w:val="heading 6"/>
    <w:basedOn w:val="Normal"/>
    <w:next w:val="Normal"/>
    <w:pPr>
      <w:keepNext w:val="1"/>
      <w:jc w:val="both"/>
      <w:outlineLvl w:val="5"/>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204A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204A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jM30zKyd83dheyLxss/QS0C9FA==">CgMxLjA4AHIhMXV0cFlDdS1vVTNQT3U4MmM5Ri1uVGYwSmIwQlp5SEdC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2023-12-18T20:16:00Z</dcterms:created>
  <dc:creator>Owner</dc:creator>
</cp:coreProperties>
</file>